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667A" w:rsidRDefault="00F92C7B" w:rsidP="00F9667A">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p>
    <w:p w:rsidR="00F9667A" w:rsidRDefault="00F9667A" w:rsidP="00F9667A">
      <w:pPr>
        <w:pStyle w:val="a3"/>
        <w:spacing w:line="520" w:lineRule="exact"/>
        <w:rPr>
          <w:rFonts w:ascii="仿宋_GB2312" w:eastAsia="仿宋_GB2312" w:hAnsi="宋体" w:cs="宋体"/>
          <w:sz w:val="30"/>
          <w:szCs w:val="30"/>
        </w:rPr>
      </w:pPr>
    </w:p>
    <w:p w:rsidR="00F9667A" w:rsidRDefault="00F9667A" w:rsidP="00F9667A">
      <w:pPr>
        <w:pStyle w:val="a3"/>
        <w:spacing w:line="520" w:lineRule="exact"/>
        <w:rPr>
          <w:rFonts w:ascii="仿宋_GB2312" w:eastAsia="仿宋_GB2312" w:hAnsi="宋体" w:cs="宋体"/>
          <w:sz w:val="30"/>
          <w:szCs w:val="30"/>
        </w:rPr>
      </w:pPr>
    </w:p>
    <w:p w:rsidR="00F9667A" w:rsidRDefault="00F9667A" w:rsidP="00F9667A">
      <w:pPr>
        <w:pStyle w:val="a3"/>
        <w:spacing w:line="520" w:lineRule="exact"/>
        <w:rPr>
          <w:rFonts w:ascii="仿宋_GB2312" w:eastAsia="仿宋_GB2312" w:hAnsi="宋体" w:cs="宋体"/>
          <w:sz w:val="30"/>
          <w:szCs w:val="30"/>
        </w:rPr>
      </w:pPr>
    </w:p>
    <w:p w:rsidR="00F707EF" w:rsidRPr="00F707EF" w:rsidRDefault="00F9667A" w:rsidP="00F707EF">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00F707EF" w:rsidRPr="00F707EF">
        <w:rPr>
          <w:rFonts w:ascii="仿宋_GB2312" w:eastAsia="仿宋_GB2312" w:hAnsi="宋体" w:cs="宋体" w:hint="eastAsia"/>
          <w:sz w:val="30"/>
          <w:szCs w:val="30"/>
        </w:rPr>
        <w:t>《最高人民法院关于适用〈中华人民共和国民法典〉婚姻家庭编的解释（一）》已于2020年12月25日由最高人民法院审判委员会第1825次会议通过，现予公布，自2021年1月1日起施行。</w:t>
      </w:r>
    </w:p>
    <w:p w:rsidR="00F707EF" w:rsidRPr="00F707EF" w:rsidRDefault="00F707EF" w:rsidP="00F707EF">
      <w:pPr>
        <w:pStyle w:val="a3"/>
        <w:spacing w:line="520" w:lineRule="exact"/>
        <w:rPr>
          <w:rFonts w:ascii="仿宋_GB2312" w:eastAsia="仿宋_GB2312" w:hAnsi="宋体" w:cs="宋体" w:hint="eastAsia"/>
          <w:sz w:val="30"/>
          <w:szCs w:val="30"/>
        </w:rPr>
      </w:pPr>
    </w:p>
    <w:p w:rsidR="00F707EF" w:rsidRPr="00F707EF" w:rsidRDefault="00F707EF" w:rsidP="00F707EF">
      <w:pPr>
        <w:pStyle w:val="a3"/>
        <w:spacing w:line="520" w:lineRule="exact"/>
        <w:rPr>
          <w:rFonts w:ascii="仿宋_GB2312" w:eastAsia="仿宋_GB2312" w:hAnsi="宋体" w:cs="宋体" w:hint="eastAsia"/>
          <w:sz w:val="30"/>
          <w:szCs w:val="30"/>
        </w:rPr>
      </w:pPr>
    </w:p>
    <w:p w:rsidR="00F707EF" w:rsidRPr="00F707EF" w:rsidRDefault="00F707EF" w:rsidP="00F707EF">
      <w:pPr>
        <w:pStyle w:val="a3"/>
        <w:spacing w:line="520" w:lineRule="exact"/>
        <w:rPr>
          <w:rFonts w:ascii="仿宋_GB2312" w:eastAsia="仿宋_GB2312" w:hAnsi="宋体" w:cs="宋体" w:hint="eastAsia"/>
          <w:sz w:val="30"/>
          <w:szCs w:val="30"/>
        </w:rPr>
      </w:pPr>
    </w:p>
    <w:p w:rsidR="00F707EF" w:rsidRPr="00F707EF" w:rsidRDefault="00F707EF" w:rsidP="00F707EF">
      <w:pPr>
        <w:pStyle w:val="a3"/>
        <w:spacing w:line="520" w:lineRule="exact"/>
        <w:rPr>
          <w:rFonts w:ascii="仿宋_GB2312" w:eastAsia="仿宋_GB2312" w:hAnsi="宋体" w:cs="宋体" w:hint="eastAsia"/>
          <w:sz w:val="30"/>
          <w:szCs w:val="30"/>
        </w:rPr>
      </w:pPr>
    </w:p>
    <w:p w:rsidR="00F707EF" w:rsidRPr="00F707EF" w:rsidRDefault="00F707EF" w:rsidP="00F707EF">
      <w:pPr>
        <w:pStyle w:val="a3"/>
        <w:spacing w:line="520" w:lineRule="exact"/>
        <w:rPr>
          <w:rFonts w:ascii="仿宋_GB2312" w:eastAsia="仿宋_GB2312" w:hAnsi="宋体" w:cs="宋体" w:hint="eastAsia"/>
          <w:sz w:val="30"/>
          <w:szCs w:val="30"/>
        </w:rPr>
      </w:pPr>
    </w:p>
    <w:p w:rsidR="00F707EF" w:rsidRPr="00F707EF" w:rsidRDefault="00F707EF" w:rsidP="00F707EF">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F707EF">
        <w:rPr>
          <w:rFonts w:ascii="仿宋_GB2312" w:eastAsia="仿宋_GB2312" w:hAnsi="宋体" w:cs="宋体" w:hint="eastAsia"/>
          <w:sz w:val="30"/>
          <w:szCs w:val="30"/>
        </w:rPr>
        <w:t>最高人民法院</w:t>
      </w:r>
    </w:p>
    <w:p w:rsidR="00F707EF" w:rsidRPr="00F707EF" w:rsidRDefault="00F707EF" w:rsidP="00F707EF">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F707EF">
        <w:rPr>
          <w:rFonts w:ascii="仿宋_GB2312" w:eastAsia="仿宋_GB2312" w:hAnsi="宋体" w:cs="宋体" w:hint="eastAsia"/>
          <w:sz w:val="30"/>
          <w:szCs w:val="30"/>
        </w:rPr>
        <w:t>2020年12月29日</w:t>
      </w:r>
    </w:p>
    <w:p w:rsidR="00F707EF" w:rsidRPr="00F707EF" w:rsidRDefault="00F707EF" w:rsidP="00F707EF">
      <w:pPr>
        <w:pStyle w:val="a3"/>
        <w:spacing w:line="520" w:lineRule="exact"/>
        <w:rPr>
          <w:rFonts w:ascii="仿宋_GB2312" w:eastAsia="仿宋_GB2312" w:hAnsi="宋体" w:cs="宋体" w:hint="eastAsia"/>
          <w:sz w:val="30"/>
          <w:szCs w:val="30"/>
        </w:rPr>
      </w:pPr>
    </w:p>
    <w:p w:rsidR="00D81223" w:rsidRPr="00D81223" w:rsidRDefault="00D81223" w:rsidP="00F707EF">
      <w:pPr>
        <w:pStyle w:val="a3"/>
        <w:spacing w:line="520" w:lineRule="exact"/>
        <w:rPr>
          <w:rFonts w:ascii="仿宋_GB2312" w:eastAsia="仿宋_GB2312" w:hAnsi="宋体" w:cs="宋体"/>
          <w:sz w:val="30"/>
          <w:szCs w:val="30"/>
        </w:rPr>
      </w:pPr>
    </w:p>
    <w:p w:rsidR="007B2410" w:rsidRPr="007B2410" w:rsidRDefault="007B2410" w:rsidP="00D81223">
      <w:pPr>
        <w:pStyle w:val="a3"/>
        <w:spacing w:line="520" w:lineRule="exact"/>
        <w:rPr>
          <w:rFonts w:ascii="仿宋_GB2312" w:eastAsia="仿宋_GB2312" w:hAnsi="宋体" w:cs="宋体"/>
          <w:sz w:val="30"/>
          <w:szCs w:val="30"/>
        </w:rPr>
      </w:pPr>
    </w:p>
    <w:p w:rsidR="007B2410" w:rsidRPr="007B2410" w:rsidRDefault="007B2410" w:rsidP="007B2410">
      <w:pPr>
        <w:pStyle w:val="a3"/>
        <w:spacing w:line="520" w:lineRule="exact"/>
        <w:rPr>
          <w:rFonts w:ascii="仿宋_GB2312" w:eastAsia="仿宋_GB2312" w:hAnsi="宋体" w:cs="宋体"/>
          <w:sz w:val="30"/>
          <w:szCs w:val="30"/>
        </w:rPr>
      </w:pPr>
    </w:p>
    <w:p w:rsidR="007B2410" w:rsidRPr="007B2410" w:rsidRDefault="007B2410" w:rsidP="007B2410">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D91F48" w:rsidRPr="00BF4E21" w:rsidRDefault="00E56A87" w:rsidP="00BF4E21">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p>
    <w:p w:rsidR="00D91F48" w:rsidRPr="007A7FD3" w:rsidRDefault="00D91F48" w:rsidP="00D91F48">
      <w:pPr>
        <w:pStyle w:val="a3"/>
        <w:spacing w:line="520" w:lineRule="exact"/>
        <w:jc w:val="center"/>
        <w:rPr>
          <w:rFonts w:hAnsi="宋体" w:cs="宋体"/>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F92C7B" w:rsidRDefault="00F92C7B" w:rsidP="000C4793">
      <w:pPr>
        <w:pStyle w:val="a3"/>
        <w:spacing w:line="520" w:lineRule="exact"/>
        <w:jc w:val="center"/>
        <w:rPr>
          <w:rFonts w:ascii="仿宋_GB2312" w:eastAsia="仿宋_GB2312" w:hAnsi="宋体" w:cs="宋体"/>
          <w:sz w:val="30"/>
          <w:szCs w:val="30"/>
        </w:rPr>
      </w:pPr>
    </w:p>
    <w:p w:rsidR="00345685" w:rsidRDefault="00345685" w:rsidP="000C4793">
      <w:pPr>
        <w:pStyle w:val="a3"/>
        <w:spacing w:line="520" w:lineRule="exact"/>
        <w:jc w:val="center"/>
        <w:rPr>
          <w:rFonts w:ascii="仿宋_GB2312" w:eastAsia="仿宋_GB2312" w:hAnsi="宋体" w:cs="宋体"/>
          <w:sz w:val="30"/>
          <w:szCs w:val="30"/>
        </w:rPr>
      </w:pPr>
    </w:p>
    <w:p w:rsidR="00345685" w:rsidRDefault="00345685" w:rsidP="000C4793">
      <w:pPr>
        <w:pStyle w:val="a3"/>
        <w:spacing w:line="520" w:lineRule="exact"/>
        <w:jc w:val="center"/>
        <w:rPr>
          <w:rFonts w:ascii="仿宋_GB2312" w:eastAsia="仿宋_GB2312" w:hAnsi="宋体" w:cs="宋体"/>
          <w:sz w:val="30"/>
          <w:szCs w:val="30"/>
        </w:rPr>
      </w:pPr>
    </w:p>
    <w:p w:rsidR="000C4793" w:rsidRDefault="00D91F48" w:rsidP="000C4793">
      <w:pPr>
        <w:pStyle w:val="a3"/>
        <w:spacing w:line="520" w:lineRule="exact"/>
        <w:jc w:val="center"/>
        <w:rPr>
          <w:rFonts w:ascii="仿宋_GB2312" w:eastAsia="仿宋_GB2312" w:hAnsi="宋体" w:cs="宋体"/>
          <w:sz w:val="30"/>
          <w:szCs w:val="30"/>
        </w:rPr>
      </w:pPr>
      <w:r w:rsidRPr="00604ACB">
        <w:rPr>
          <w:rFonts w:ascii="仿宋_GB2312" w:eastAsia="仿宋_GB2312" w:hAnsi="宋体" w:cs="宋体" w:hint="eastAsia"/>
          <w:sz w:val="30"/>
          <w:szCs w:val="30"/>
        </w:rPr>
        <w:t>法释〔</w:t>
      </w:r>
      <w:r w:rsidR="00C85BE4">
        <w:rPr>
          <w:rFonts w:ascii="仿宋_GB2312" w:eastAsia="仿宋_GB2312" w:hAnsi="宋体" w:cs="宋体" w:hint="eastAsia"/>
          <w:sz w:val="30"/>
          <w:szCs w:val="30"/>
        </w:rPr>
        <w:t>20</w:t>
      </w:r>
      <w:r w:rsidR="00493ABE">
        <w:rPr>
          <w:rFonts w:ascii="仿宋_GB2312" w:eastAsia="仿宋_GB2312" w:hAnsi="宋体" w:cs="宋体" w:hint="eastAsia"/>
          <w:sz w:val="30"/>
          <w:szCs w:val="30"/>
        </w:rPr>
        <w:t>20</w:t>
      </w:r>
      <w:r w:rsidRPr="00604ACB">
        <w:rPr>
          <w:rFonts w:ascii="仿宋_GB2312" w:eastAsia="仿宋_GB2312" w:hAnsi="宋体" w:cs="宋体" w:hint="eastAsia"/>
          <w:sz w:val="30"/>
          <w:szCs w:val="30"/>
        </w:rPr>
        <w:t>〕</w:t>
      </w:r>
      <w:r w:rsidR="00F707EF">
        <w:rPr>
          <w:rFonts w:ascii="仿宋_GB2312" w:eastAsia="仿宋_GB2312" w:hAnsi="宋体" w:cs="宋体" w:hint="eastAsia"/>
          <w:sz w:val="30"/>
          <w:szCs w:val="30"/>
        </w:rPr>
        <w:t>22</w:t>
      </w:r>
      <w:r w:rsidRPr="00604ACB">
        <w:rPr>
          <w:rFonts w:ascii="仿宋_GB2312" w:eastAsia="仿宋_GB2312" w:hAnsi="宋体" w:cs="宋体" w:hint="eastAsia"/>
          <w:sz w:val="30"/>
          <w:szCs w:val="30"/>
        </w:rPr>
        <w:t>号</w:t>
      </w:r>
    </w:p>
    <w:p w:rsidR="007B2410" w:rsidRPr="00C672E3" w:rsidRDefault="007B2410" w:rsidP="00542147">
      <w:pPr>
        <w:pStyle w:val="a3"/>
        <w:rPr>
          <w:rFonts w:ascii="楷体_GB2312" w:eastAsia="楷体_GB2312" w:hAnsi="宋体" w:cs="宋体"/>
          <w:sz w:val="30"/>
          <w:szCs w:val="30"/>
        </w:rPr>
      </w:pPr>
    </w:p>
    <w:p w:rsidR="00F707EF" w:rsidRPr="00F707EF" w:rsidRDefault="00F707EF" w:rsidP="00F707EF">
      <w:pPr>
        <w:pStyle w:val="a3"/>
        <w:spacing w:line="520" w:lineRule="exact"/>
        <w:rPr>
          <w:rFonts w:ascii="仿宋_GB2312" w:eastAsia="仿宋_GB2312" w:hAnsi="宋体" w:cs="宋体" w:hint="eastAsia"/>
          <w:sz w:val="30"/>
          <w:szCs w:val="30"/>
        </w:rPr>
      </w:pPr>
    </w:p>
    <w:p w:rsidR="00F707EF" w:rsidRPr="00F707EF" w:rsidRDefault="00F707EF" w:rsidP="00F707EF">
      <w:pPr>
        <w:pStyle w:val="a3"/>
        <w:jc w:val="center"/>
        <w:rPr>
          <w:rFonts w:ascii="华文中宋" w:eastAsia="华文中宋" w:hAnsi="华文中宋" w:cs="宋体" w:hint="eastAsia"/>
          <w:sz w:val="36"/>
          <w:szCs w:val="36"/>
        </w:rPr>
      </w:pPr>
      <w:r w:rsidRPr="00F707EF">
        <w:rPr>
          <w:rFonts w:ascii="华文中宋" w:eastAsia="华文中宋" w:hAnsi="华文中宋" w:cs="宋体" w:hint="eastAsia"/>
          <w:sz w:val="36"/>
          <w:szCs w:val="36"/>
        </w:rPr>
        <w:t>最高人民法院关于适用</w:t>
      </w:r>
    </w:p>
    <w:p w:rsidR="00F707EF" w:rsidRPr="00F707EF" w:rsidRDefault="00F707EF" w:rsidP="00F707EF">
      <w:pPr>
        <w:pStyle w:val="a3"/>
        <w:jc w:val="center"/>
        <w:rPr>
          <w:rFonts w:ascii="华文中宋" w:eastAsia="华文中宋" w:hAnsi="华文中宋" w:cs="宋体" w:hint="eastAsia"/>
          <w:sz w:val="36"/>
          <w:szCs w:val="36"/>
        </w:rPr>
      </w:pPr>
      <w:r w:rsidRPr="00F707EF">
        <w:rPr>
          <w:rFonts w:ascii="华文中宋" w:eastAsia="华文中宋" w:hAnsi="华文中宋" w:cs="宋体" w:hint="eastAsia"/>
          <w:sz w:val="36"/>
          <w:szCs w:val="36"/>
        </w:rPr>
        <w:t>《中华人民共和国民法典》婚姻家庭编的解释（一）</w:t>
      </w:r>
    </w:p>
    <w:p w:rsidR="00F707EF" w:rsidRPr="00F707EF" w:rsidRDefault="00F707EF" w:rsidP="00F707EF">
      <w:pPr>
        <w:pStyle w:val="a3"/>
        <w:jc w:val="center"/>
        <w:rPr>
          <w:rFonts w:ascii="仿宋_GB2312" w:eastAsia="仿宋_GB2312" w:hAnsi="宋体" w:cs="宋体" w:hint="eastAsia"/>
          <w:sz w:val="30"/>
          <w:szCs w:val="30"/>
        </w:rPr>
      </w:pPr>
      <w:r w:rsidRPr="00F707EF">
        <w:rPr>
          <w:rFonts w:ascii="仿宋_GB2312" w:eastAsia="仿宋_GB2312" w:hAnsi="宋体" w:cs="宋体" w:hint="eastAsia"/>
          <w:sz w:val="30"/>
          <w:szCs w:val="30"/>
        </w:rPr>
        <w:t>（2020年12月25日最高人民法院审判委员会</w:t>
      </w:r>
    </w:p>
    <w:p w:rsidR="00F707EF" w:rsidRPr="00F707EF" w:rsidRDefault="00F707EF" w:rsidP="00F707EF">
      <w:pPr>
        <w:pStyle w:val="a3"/>
        <w:jc w:val="center"/>
        <w:rPr>
          <w:rFonts w:ascii="仿宋_GB2312" w:eastAsia="仿宋_GB2312" w:hAnsi="宋体" w:cs="宋体" w:hint="eastAsia"/>
          <w:sz w:val="30"/>
          <w:szCs w:val="30"/>
        </w:rPr>
      </w:pPr>
      <w:r w:rsidRPr="00F707EF">
        <w:rPr>
          <w:rFonts w:ascii="仿宋_GB2312" w:eastAsia="仿宋_GB2312" w:hAnsi="宋体" w:cs="宋体" w:hint="eastAsia"/>
          <w:sz w:val="30"/>
          <w:szCs w:val="30"/>
        </w:rPr>
        <w:t>第1825次会议通过，自2021年1月1日起施行）</w:t>
      </w:r>
    </w:p>
    <w:p w:rsidR="00F707EF" w:rsidRPr="00F707EF" w:rsidRDefault="00F707EF" w:rsidP="00F707EF">
      <w:pPr>
        <w:pStyle w:val="a3"/>
        <w:spacing w:line="520" w:lineRule="exact"/>
        <w:rPr>
          <w:rFonts w:ascii="仿宋_GB2312" w:eastAsia="仿宋_GB2312" w:hAnsi="宋体" w:cs="宋体" w:hint="eastAsia"/>
          <w:sz w:val="30"/>
          <w:szCs w:val="30"/>
        </w:rPr>
      </w:pPr>
    </w:p>
    <w:p w:rsidR="00F707EF" w:rsidRPr="00F707EF" w:rsidRDefault="00F707EF" w:rsidP="00F707EF">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F707EF">
        <w:rPr>
          <w:rFonts w:ascii="仿宋_GB2312" w:eastAsia="仿宋_GB2312" w:hAnsi="宋体" w:cs="宋体" w:hint="eastAsia"/>
          <w:sz w:val="30"/>
          <w:szCs w:val="30"/>
        </w:rPr>
        <w:t>为正确审理婚姻家庭纠纷案件，根据《中华人民共和国民法典》《中华人民共和国民事诉讼法》等相关法律规定，结合审判实践，制定本解释。</w:t>
      </w:r>
    </w:p>
    <w:p w:rsidR="00F707EF" w:rsidRPr="00F707EF" w:rsidRDefault="00F707EF" w:rsidP="00F707EF">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F707EF">
        <w:rPr>
          <w:rFonts w:ascii="仿宋_GB2312" w:eastAsia="仿宋_GB2312" w:hAnsi="宋体" w:cs="宋体" w:hint="eastAsia"/>
          <w:sz w:val="30"/>
          <w:szCs w:val="30"/>
        </w:rPr>
        <w:t>一、一般规定</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第一条持续性、经常性的家庭暴力，可以认定为民法典第一千零四十二条、第一千零七十九条、第一千零九十一条所称的“虐待”。</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lastRenderedPageBreak/>
        <w:t>第二条民法典第一千零四十二条、第一千零七十九条、第一千零九十一条规定的“与他人同居”的情形，是指有配偶者与婚外异性，不以夫妻名义，持续、稳定地共同居住。</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第三条当事人提起诉讼仅请求解除同居关系的，人民法院不予受理；已经受理的，裁定驳回起诉。</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当事人因同居期间财产分割或者子女抚养纠纷提起诉讼的，人民法院应当受理。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第四条当事人仅以民法典第一千零四十三条为依据提起诉讼的，人民法院不予受理；已经受理的，裁定驳回起诉。</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第五条当事人请求返还按照习俗给付的彩礼的，如果查明属于以下情形，人民法院应当予以支持：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（一）双方未办理结婚登记手续；</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（二）双方办理结婚登记手续但确未共同生活；</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（三）婚前给付并导致给付人生活困难。</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适用前款第二项、第三项的规定，应当以双方离婚为条件。</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二、结婚</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第六条男女双方依据民法典第一千零四十九条规定补办结婚登记的，婚姻关系的效力从双方均符合民法典所规定的结婚的实质要件时起算。</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第七条未依据民法典第一千零四十九条规定办理结婚登记而以夫妻名义共同生活的男女，提起诉讼要求离婚的，应当区别对待：</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（一）1994年2月1日民政部《婚姻登记管理条例》公布实施以前，男女双方已经符合结婚实质要件的，按事实婚姻处理。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（二）1994年2月1日民政部《婚姻登记管理条例》公布实施以后，男女双方符合结婚实质要件的，人民法院应当告知其补办结婚登记。未补办结婚登记的，依据本解释第三条规定处理。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lastRenderedPageBreak/>
        <w:t>第八条未依据民法典第一千零四十九条规定办理结婚登记而以夫妻名义共同生活的男女，一方死亡，另一方以配偶身份主张享有继承权的，依据本解释第七条的原则处理。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第九条有权依据民法典第一千零五十一条规定向人民法院就已办理结婚登记的婚姻请求确认婚姻无效的主体，包括婚姻当事人及利害关系人。其中，利害关系人包括：</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（一）以重婚为由的，为当事人的近亲属及基层组织；</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（二）以未到法定婚龄为由的，为未到法定婚龄者的近亲属；</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（三）以有禁止结婚的亲属关系为由的，为当事人的近亲属。</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第十条当事人依据民法典第一千零五十一条规定向人民法院请求确认婚姻无效，法定的无效婚姻情形在提起诉讼时已经消失的，人民法院不予支持。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第十一条人民法院受理请求确认婚姻无效案件后，原告申请撤诉的，不予准许。</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对婚姻效力的审理不适用调解，应当依法作出判决。</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涉及财产分割和子女抚养的，可以调解。调解达成协议的，另行制作调解书；未达成调解协议的，应当一并作出判决。</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第十二条人民法院受理离婚案件后，经审理确属无效婚姻的，应当将婚姻无效的情形告知当事人，并依法作出确认婚姻无效的判决。</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第十三条人民法院就同一婚姻关系分别受理了离婚和请求确认婚姻无效案件的，对于离婚案件的审理，应当待请求确认婚姻无效案件作出判决后进行。</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第十四条夫妻一方或者双方死亡后，生存一方或者利害关系人依据民法典第一千零五十一条的规定请求确认婚姻无效的，人民法院应当受理。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lastRenderedPageBreak/>
        <w:t>第十五条利害关系人依据民法典第一千零五十一条的规定，请求人民法院确认婚姻无效的，利害关系人为原告，婚姻关系当事人双方为被告。</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夫妻一方死亡的，生存一方为被告。</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第十六条人民法院审理重婚导致的无效婚姻案件时，涉及财产处理的，应当准许合法婚姻当事人作为有独立请求权的第三人参加诉讼。</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第十七条当事人以民法典第一千零五十一条规定的三种无效婚姻以外的情形请求确认婚姻无效的，人民法院应当判决驳回当事人的诉讼请求。</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当事人以结婚登记程序存在瑕疵为由提起民事诉讼，主张撤销结婚登记的，告知其可以依法申请行政复议或者提起行政诉讼。</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第十八条行为人以给另一方当事人或者其近亲属的生命、身体、健康、名誉、财产等方面造成损害为要挟，迫使另一方当事人违背真实意愿结婚的，可以认定为民法典第一千零五十二条所称的“胁迫”。</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因受胁迫而请求撤销婚姻的，只能是受胁迫一方的婚姻关系当事人本人。</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第十九条民法典第一千零五十二条规定的“一年”，不适用诉讼时效中止、中断或者延长的规定。</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受胁迫或者被非法限制人身自由的当事人请求撤销婚姻的，不适用民法典第一百五十二条第二款的规定。</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第二十条民法典第一千零五十四条所规定的“自始没有法律约束力”，是指无效婚姻或者可撤销婚姻在依法被确认无效或者被撤销时，才确定该婚姻自始不受法律保护。</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第二十一条人民法院根据当事人的请求，依法确认婚姻无效或者</w:t>
      </w:r>
      <w:r w:rsidRPr="00F707EF">
        <w:rPr>
          <w:rFonts w:ascii="仿宋_GB2312" w:eastAsia="仿宋_GB2312" w:hAnsi="宋体" w:cs="宋体" w:hint="eastAsia"/>
          <w:sz w:val="30"/>
          <w:szCs w:val="30"/>
        </w:rPr>
        <w:lastRenderedPageBreak/>
        <w:t>撤销婚姻的，应当收缴双方的结婚证书并将生效的判决书寄送当地婚姻登记管理机关。</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第二十二条被确认无效或者被撤销的婚姻，当事人同居期间所得的财产，除有证据证明为当事人一方所有的以外，按共同共有处理。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三、夫妻关系</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二十三条夫以妻擅自中止妊娠侵犯其生育权为由请求损害赔偿的，人民法院不予支持；夫妻双方因是否生育发生纠纷，致使感情确已破裂，一方请求离婚的，人民法院经调解无效，应依照民法典第一千零七十九条第三款第五项的规定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第二十四条民法典第一千零六十二条第一款第三项规定的“知识产权的收益”，是指婚姻关系存续期间，实际取得或者已经明确可以取得的财产性收益。</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第二十五条婚姻关系存续期间，下列财产属于民法典第一千零六十二条规定的“其他应当归共同所有的财产”：</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（一）一方以个人财产投资取得的收益；</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（二）男女双方实际取得或者应当取得的住房补贴、住房公积金；</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（三）男女双方实际取得或者应当取得的基本养老金、破产安置补偿费。</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第二十六条夫妻一方个人财产在婚后产生的收益，除孳息和自然增值外，应认定为夫妻共同财产。</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第二十七条由一方婚前承租、婚后用共同财产购买的房屋，登记在一方名下的，应当认定为夫妻共同财产。</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第二十八条一方未经另一方同意出售夫妻共同所有的房屋，第三人善意购买、支付合理对价并已办理不动产登记，另一方主张追回该房屋的，人民法院不予支持。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lastRenderedPageBreak/>
        <w:t>夫妻一方擅自处分共同所有的房屋造成另一方损失，离婚时另一方请求赔偿损失的，人民法院应予支持。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第二十九条当事人结婚前，父母为双方购置房屋出资的，该出资应当认定为对自己子女个人的赠与，但父母明确表示赠与双方的除外。</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当事人结婚后，父母为双方购置房屋出资的，依照约定处理；没有约定或者约定不明确的，按照民法典第一千零六十二条第一款第四项规定的原则处理。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第三十条军人的伤亡保险金、伤残补助金、医药生活补助费属于个人财产。</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第三十一条民法典第一千零六十三条规定为夫妻一方的个人财产，不因婚姻关系的延续而转化为夫妻共同财产。但当事人另有约定的除外。</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三十二条婚前或者婚姻关系存续期间，当事人约定将一方所有的房产赠与另一方或者共有，赠与方在赠与房产变更登记之前撤销赠与，另一方请求判令继续履行的，人民法院可以按照民法典第六百五十八条的规定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第三十三条债权人就一方婚前所负个人债务向债务人的配偶主张权利的，人民法院不予支持。但债权人能够证明所负债务用于婚后家庭共同生活的除外。</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第三十四条夫妻一方与第三人串通，虚构债务，第三人主张该债务为夫妻共同债务的，人民法院不予支持。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夫妻一方在从事赌博、吸毒等违法犯罪活动中所负债务，第三人主张该债务为夫妻共同债务的，人民法院不予支持。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第三十五条当事人的离婚协议或者人民法院生效判决、裁定、调解书已经对夫妻财产分割问题作出处理的，债权人仍有权就夫妻</w:t>
      </w:r>
      <w:r w:rsidRPr="00F707EF">
        <w:rPr>
          <w:rFonts w:ascii="仿宋_GB2312" w:eastAsia="仿宋_GB2312" w:hAnsi="宋体" w:cs="宋体" w:hint="eastAsia"/>
          <w:sz w:val="30"/>
          <w:szCs w:val="30"/>
        </w:rPr>
        <w:lastRenderedPageBreak/>
        <w:t>共同债务向男女双方主张权利。</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一方就夫妻共同债务承担清偿责任后，主张由另一方按照离婚协议或者人民法院的法律文书承担相应债务的，人民法院应予支持。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第三十六条夫或者妻一方死亡的，生存一方应当对婚姻关系存续期间的夫妻共同债务承担清偿责任。</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第三十七条民法典第一千零六十五条第三款所称“相对人知道该约定的”，夫妻一方对此负有举证责任。</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第三十八条婚姻关系存续期间，除民法典第一千零六十六条规定情形以外，夫妻一方请求分割共同财产的，人民法院不予支持。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四、父母子女关系</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第三十九条父或者母向人民法院起诉请求否认亲子关系，并已提供必要证据予以证明，另一方没有相反证据又拒绝做亲子鉴定的，人民法院可以认定否认亲子关系一方的主张成立。</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父或者母以及成年子女起诉请求确认亲子关系，并提供必要证据予以证明，另一方没有相反证据又拒绝做亲子鉴定的，人民法院可以认定确认亲子关系一方的主张成立。</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第四十条婚姻关系存续期间，夫妻双方一致同意进行人工授精，所生子女应视为婚生子女，父母子女间的权利义务关系适用民法典的有关规定。</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第四十一条尚在校接受高中及其以下学历教育，或者丧失、部分丧失劳动能力等非因主观原因而无法维持正常生活的成年子女，可以认定为民法典第一千零六十七条规定的“不能独立生活的成年子女”。</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第四十二条民法典第一千零六十七条所称“抚养费”，包括子女生活费、教育费、医疗费等费用。</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第四十三条婚姻关系存续期间，父母双方或者一方拒不履行抚养</w:t>
      </w:r>
      <w:r w:rsidRPr="00F707EF">
        <w:rPr>
          <w:rFonts w:ascii="仿宋_GB2312" w:eastAsia="仿宋_GB2312" w:hAnsi="宋体" w:cs="宋体" w:hint="eastAsia"/>
          <w:sz w:val="30"/>
          <w:szCs w:val="30"/>
        </w:rPr>
        <w:lastRenderedPageBreak/>
        <w:t>子女义务，未成年子女或者不能独立生活的成年子女请求支付抚养费的，人民法院应予支持。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第四十四条离婚案件涉及未成年子女抚养的，对不满两周岁的子女，按照民法典第一千零八十四条第三款规定的原则处理。母亲有下列情形之一，父亲请求直接抚养的，人民法院应予支持：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（一）患有久治不愈的传染性疾病或者其他严重疾病，子女不宜与其共同生活；</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（二）有抚养条件不尽抚养义务，而父亲要求子女随其生活；</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（三）因其他原因，子女确不宜随母亲生活。</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第四十五条父母双方协议不满两周岁子女由父亲直接抚养，并对子女健康成长无不利影响的，人民法院应予支持。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第四十六条对已满两周岁的未成年子女，父母均要求直接抚养，一方有下列情形之一的，可予优先考虑：</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（一）已做绝育手术或者因其他原因丧失生育能力；</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（二）子女随其生活时间较长，改变生活环境对子女健康成长明显不利；</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（三）无其他子女，而另一方有其他子女；</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（四）子女随其生活，对子女成长有利，而另一方患有久治不愈的传染性疾病或者其他严重疾病，或者有其他不利于子女身心健康的情形，不宜与子女共同生活。</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四十七条父母抚养子女的条件基本相同，双方均要求直接抚养子女，但子女单独随祖父母或者外祖父母共同生活多年，且祖父母或者外祖父母要求并且有能力帮助子女照顾孙子女或者外孙子女的，可以作为父或者母直接抚养子女的优先条件予以考虑。</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第四十八条在有利于保护子女利益的前提下，父母双方协议轮流直接抚养子女的，人民法院应予支持。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lastRenderedPageBreak/>
        <w:t>第四十九条抚养费的数额，可以根据子女的实际需要、父母双方的负担能力和当地的实际生活水平确定。</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有固定收入的，抚养费一般可以按其月总收入的百分之二十至三十的比例给付。负担两个以上子女抚养费的，比例可以适当提高，但一般不得超过月总收入的百分之五十。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无固定收入的，抚养费的数额可以依据当年总收入或者同行业平均收入，参照上述比例确定。</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有特殊情况的，可以适当提高或者降低上述比例。</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第五十条抚养费应当定期给付，有条件的可以一次性给付。</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第五十一条父母一方无经济收入或者下落不明的，可以用其财物折抵抚养费。</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第五十二条父母双方可以协议由一方直接抚养子女并由直接抚养方负担子女全部抚养费。但是，直接抚养方的抚养能力明显不能保障子女所需费用，影响子女健康成长的，人民法院不予支持。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第五十三条抚养费的给付期限，一般至子女十八周岁为止。</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十六周岁以上不满十八周岁，以其劳动收入为主要生活来源，并能维持当地一般生活水平的，父母可以停止给付抚养费。</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第五十四条生父与继母离婚或者生母与继父离婚时，对曾受其抚养教育的继子女，继父或者继母不同意继续抚养的，仍应由生父或者生母抚养。</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第五十五条离婚后，父母一方要求变更子女抚养关系的，或者子女要求增加抚养费的，应当另行提起诉讼。</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第五十六条具有下列情形之一，父母一方要求变更子女抚养关系的，人民法院应予支持：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（一）与子女共同生活的一方因患严重疾病或者因伤残无力继续抚养子女；</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lastRenderedPageBreak/>
        <w:t>（二）与子女共同生活的一方不尽抚养义务或有虐待子女行为，或者其与子女共同生活对子女身心健康确有不利影响；</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（三）已满八周岁的子女，愿随另一方生活，该方又有抚养能力；</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（四）有其他正当理由需要变更。</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第五十七条父母双方协议变更子女抚养关系的，人民法院应予支持。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第五十八条具有下列情形之一，子女要求有负担能力的父或者母增加抚养费的，人民法院应予支持：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（一）原定抚养费数额不足以维持当地实际生活水平；</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（二）因子女患病、上学，实际需要已超过原定数额；</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（三）有其他正当理由应当增加。</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第五十九条父母不得因子女变更姓氏而拒付子女抚养费。父或者母擅自将子女姓氏改为继母或继父姓氏而引起纠纷的，应当责令恢复原姓氏。</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第六十条在离婚诉讼期间，双方均拒绝抚养子女的，可以先行裁定暂由一方抚养。</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第六十一条对拒不履行或者妨害他人履行生效判决、裁定、调解书中有关子女抚养义务的当事人或者其他人，人民法院可依照民事诉讼法第一百一十一条的规定采取强制措施。</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五、离婚</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六十二条无民事行为能力人的配偶有民法典第三十六条第一款规定行为,其他有监护资格的人可以要求撤销其监护资格，并依法指定新的监护人；变更后的监护人代理无民事行为能力一方提起离婚诉讼的，人民法院应予受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第六十三条人民法院审理离婚案件，符合民法典第一千零七十九条第三款规定“应当准予离婚”情形的，不应当因当事人有过错</w:t>
      </w:r>
      <w:r w:rsidRPr="00F707EF">
        <w:rPr>
          <w:rFonts w:ascii="仿宋_GB2312" w:eastAsia="仿宋_GB2312" w:hAnsi="宋体" w:cs="宋体" w:hint="eastAsia"/>
          <w:sz w:val="30"/>
          <w:szCs w:val="30"/>
        </w:rPr>
        <w:lastRenderedPageBreak/>
        <w:t>而判决不准离婚。</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第六十四条民法典第一千零八十一条所称的“军人一方有重大过错”，可以依据民法典第一千零七十九条第三款前三项规定及军人有其他重大过错导致夫妻感情破裂的情形予以判断。</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第六十五条人民法院作出的生效的离婚判决中未涉及探望权，当事人就探望权问题单独提起诉讼的，人民法院应予受理。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六十六条当事人在履行生效判决、裁定或者调解书的过程中，一方请求中止探望的，人民法院在征询双方当事人意见后，认为需要中止探望的，依法作出裁定；中止探望的情形消失后，人民法院应当根据当事人的请求书面通知其恢复探望。</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第六十七条未成年子女、直接抚养子女的父或者母以及其他对未成年子女负担抚养、教育、保护义务的法定监护人，有权向人民法院提出中止探望的请求。</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第六十八条对于拒不协助另一方行使探望权的有关个人或者组织，可以由人民法院依法采取拘留、罚款等强制措施，但是不能对子女的人身、探望行为进行强制执行。</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六十九条当事人达成的以协议离婚或者到人民法院调解离婚为条件的财产以及债务处理协议，如果双方离婚未成，一方在离婚诉讼中反悔的，人民法院应当认定该财产以及债务处理协议没有生效，并根据实际情况依照民法典第一千零八十七条和第一千零八十九条的规定判决。</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当事人依照民法典第一千零七十六条签订的离婚协议中关于财产以及债务处理的条款，对男女双方具有法律约束力。登记离婚后当事人因履行上述协议发生纠纷提起诉讼的，人民法院应当受理。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第七十条夫妻双方协议离婚后就财产分割问题反悔，请求撤销财</w:t>
      </w:r>
      <w:r w:rsidRPr="00F707EF">
        <w:rPr>
          <w:rFonts w:ascii="仿宋_GB2312" w:eastAsia="仿宋_GB2312" w:hAnsi="宋体" w:cs="宋体" w:hint="eastAsia"/>
          <w:sz w:val="30"/>
          <w:szCs w:val="30"/>
        </w:rPr>
        <w:lastRenderedPageBreak/>
        <w:t>产分割协议的，人民法院应当受理。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人民法院审理后，未发现订立财产分割协议时存在欺诈、胁迫等情形的，应当依法驳回当事人的诉讼请求。</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第七十一条人民法院审理离婚案件，涉及分割发放到军人名下的复员费、自主择业费等一次性费用的，以夫妻婚姻关系存续年限乘以年平均值，所得数额为夫妻共同财产。</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前款所称年平均值，是指将发放到军人名下的上述费用总额按具体年限均分得出的数额。其具体年限为人均寿命七十岁与军人入伍时实际年龄的差额。</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第七十二条夫妻双方分割共同财产中的股票、债券、投资基金份额等有价证券以及未上市股份有限公司股份时，协商不成或者按市价分配有困难的，人民法院可以根据数量按比例分配。</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第七十三条人民法院审理离婚案件，涉及分割夫妻共同财产中以一方名义在有限责任公司的出资额，另一方不是该公司股东的，按以下情形分别处理：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（一）夫妻双方协商一致将出资额部分或者全部转让给该股东的配偶，其他股东过半数同意，并且其他股东均明确表示放弃优先购买权的，该股东的配偶可以成为该公司股东；</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二）夫妻双方就出资额转让份额和转让价格等事项协商一致后，其他股东半数以上不同意转让，但愿意以同等条件购买该出资额的，人民法院可以对转让出资所得财产进行分割。其他股东半数以上不同意转让，也不愿意以同等条件购买该出资额的，视为其同意转让，该股东的配偶可以成为该公司股东。</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用于证明前款规定的股东同意的证据，可以是股东会议材料，也可以是当事人通过其他合法途径取得的股东的书面声明材料。</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第七十四条人民法院审理离婚案件，涉及分割夫妻共同财产中以</w:t>
      </w:r>
      <w:r w:rsidRPr="00F707EF">
        <w:rPr>
          <w:rFonts w:ascii="仿宋_GB2312" w:eastAsia="仿宋_GB2312" w:hAnsi="宋体" w:cs="宋体" w:hint="eastAsia"/>
          <w:sz w:val="30"/>
          <w:szCs w:val="30"/>
        </w:rPr>
        <w:lastRenderedPageBreak/>
        <w:t>一方名义在合伙企业中的出资,另一方不是该企业合伙人的，当夫妻双方协商一致，将其合伙企业中的财产份额全部或者部分转让给对方时，按以下情形分别处理：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（一）其他合伙人一致同意的，该配偶依法取得合伙人地位；</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（二）其他合伙人不同意转让，在同等条件下行使优先购买权的，可以对转让所得的财产进行分割；</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（三）其他合伙人不同意转让，也不行使优先购买权，但同意该合伙人退伙或者削减部分财产份额的，可以对结算后的财产进行分割；</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（四）其他合伙人既不同意转让，也不行使优先购买权，又不同意该合伙人退伙或者削减部分财产份额的，视为全体合伙人同意转让，该配偶依法取得合伙人地位。</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第七十五条夫妻以一方名义投资设立个人独资企业的，人民法院分割夫妻在该个人独资企业中的共同财产时，应当按照以下情形分别处理：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（一）一方主张经营该企业的，对企业资产进行评估后，由取得企业资产所有权一方给予另一方相应的补偿；</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（二）双方均主张经营该企业的，在双方竞价基础上，由取得企业资产所有权的一方给予另一方相应的补偿；</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（三）双方均不愿意经营该企业的，按照《中华人民共和国个人独资企业法》等有关规定办理。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第七十六条双方对夫妻共同财产中的房屋价值及归属无法达成协议时，人民法院按以下情形分别处理：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（一）双方均主张房屋所有权并且同意竞价取得的，应当准许；</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（二）一方主张房屋所有权的，由评估机构按市场价格对房屋作出评估，取得房屋所有权的一方应当给予另一方相应的补偿；</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lastRenderedPageBreak/>
        <w:t>（三）双方均不主张房屋所有权的，根据当事人的申请拍卖、变卖房屋，就所得价款进行分割。</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第七十七条离婚时双方对尚未取得所有权或者尚未取得完全所有权的房屋有争议且协商不成的，人民法院不宜判决房屋所有权的归属，应当根据实际情况判决由当事人使用。</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当事人就前款规定的房屋取得完全所有权后，有争议的，可以另行向人民法院提起诉讼。</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第七十八条夫妻一方婚前签订不动产买卖合同，以个人财产支付首付款并在银行贷款，婚后用夫妻共同财产还贷，不动产登记于首付款支付方名下的，离婚时该不动产由双方协议处理。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依前款规定不能达成协议的，人民法院可以判决该不动产归登记一方，尚未归还的贷款为不动产登记一方的个人债务。双方婚后共同还贷支付的款项及其相对应财产增值部分，离婚时应根据民法典第一千零八十七条第一款规定的原则，由不动产登记一方对另一方进行补偿。</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七十九条婚姻关系存续期间，双方用夫妻共同财产出资购买以一方父母名义参加房改的房屋，登记在一方父母名下，离婚时另一方主张按照夫妻共同财产对该房屋进行分割的，人民法院不予支持。购买该房屋时的出资，可以作为债权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八十条离婚时夫妻一方尚未退休、不符合领取基本养老金条件，另一方请求按照夫妻共同财产分割基本养老金的，人民法院不予支持；婚后以夫妻共同财产缴纳基本养老保险费，离婚时一方主张将养老金账户中婚姻关系存续期间个人实际缴纳部分及利息作为夫妻共同财产分割的，人民法院应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ab/>
        <w:t>第八十一条婚姻关系存续期间，夫妻一方作为继承人依法可以继承的遗产，在继承人之间尚未实际分割，起诉离婚时另一方</w:t>
      </w:r>
      <w:r w:rsidRPr="00F707EF">
        <w:rPr>
          <w:rFonts w:ascii="仿宋_GB2312" w:eastAsia="仿宋_GB2312" w:hAnsi="宋体" w:cs="宋体" w:hint="eastAsia"/>
          <w:sz w:val="30"/>
          <w:szCs w:val="30"/>
        </w:rPr>
        <w:lastRenderedPageBreak/>
        <w:t>请求分割的，人民法院应当告知当事人在继承人之间实际分割遗产后另行起诉。</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第八十二条夫妻之间订立借款协议，以夫妻共同财产出借给一方从事个人经营活动或者用于其他个人事务的，应视为双方约定处分夫妻共同财产的行为，离婚时可以按照借款协议的约定处理。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第八十三条离婚后，一方以尚有夫妻共同财产未处理为由向人民法院起诉请求分割的，经审查该财产确属离婚时未涉及的夫妻共同财产，人民法院应当依法予以分割。</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第八十四条当事人依据民法典第一千零九十二条的规定向人民法院提起诉讼，请求再次分割夫妻共同财产的诉讼时效期间为三年，从当事人发现之日起计算。</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第八十五条夫妻一方申请对配偶的个人财产或者夫妻共同财产采取保全措施的，人民法院可以在采取保全措施可能造成损失的范围内，根据实际情况，确定合理的财产担保数额。</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第八十六条民法典第一千零九十一条规定的“损害赔偿”，包括物质损害赔偿和精神损害赔偿。涉及精神损害赔偿的，适用《最高人民法院关于确定民事侵权精神损害赔偿责任若干问题的解释》的有关规定。</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第八十七条承担民法典第一千零九十一条规定的损害赔偿责任的主体，为离婚诉讼当事人中无过错方的配偶。</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人民法院判决不准离婚的案件，对于当事人基于民法典第一千零九十一条提出的损害赔偿请求，不予支持。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在婚姻关系存续期间，当事人不起诉离婚而单独依据民法典第一千零九十一条提起损害赔偿请求的，人民法院不予受理。</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第八十八条人民法院受理离婚案件时，应当将民法典第一千零九十一条等规定中当事人的有关权利义务，书面告知当事人。在适</w:t>
      </w:r>
      <w:r w:rsidRPr="00F707EF">
        <w:rPr>
          <w:rFonts w:ascii="仿宋_GB2312" w:eastAsia="仿宋_GB2312" w:hAnsi="宋体" w:cs="宋体" w:hint="eastAsia"/>
          <w:sz w:val="30"/>
          <w:szCs w:val="30"/>
        </w:rPr>
        <w:lastRenderedPageBreak/>
        <w:t>用民法典第一千零九十一条时，应当区分以下不同情况：</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（一）符合民法典第一千零九十一条规定的无过错方作为原告基于该条规定向人民法院提起损害赔偿请求的，必须在离婚诉讼的同时提出。</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（二）符合民法典第一千零九十一条规定的无过错方作为被告的离婚诉讼案件，如果被告不同意离婚也不基于该条规定提起损害赔偿请求的，可以就此单独提起诉讼。</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三）无过错方作为被告的离婚诉讼案件，一审时被告未基于民法典第一千零九十一条规定提出损害赔偿请求，二审期间提出的，人民法院应当进行调解；调解不成的，告知当事人另行起诉。双方当事人同意由第二审人民法院一并审理的，第二审人民法院可以一并裁判。</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八十九条当事人在婚姻登记机关办理离婚登记手续后，以民法典第一千零九十一条规定为由向人民法院提出损害赔偿请求的，人民法院应当受理。但当事人在协议离婚时已经明确表示放弃该项请求的，人民法院不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第九十条夫妻双方均有民法典第一千零九十一条规定的过错情形，一方或者双方向对方提出离婚损害赔偿请求的，人民法院不予支持。</w:t>
      </w:r>
    </w:p>
    <w:p w:rsidR="00F707EF" w:rsidRP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六、附则</w:t>
      </w:r>
    </w:p>
    <w:p w:rsidR="00F707EF" w:rsidRDefault="00F707EF" w:rsidP="00F707EF">
      <w:pPr>
        <w:pStyle w:val="a3"/>
        <w:spacing w:line="520" w:lineRule="exact"/>
        <w:rPr>
          <w:rFonts w:ascii="仿宋_GB2312" w:eastAsia="仿宋_GB2312" w:hAnsi="宋体" w:cs="宋体" w:hint="eastAsia"/>
          <w:sz w:val="30"/>
          <w:szCs w:val="30"/>
        </w:rPr>
      </w:pPr>
      <w:r w:rsidRPr="00F707EF">
        <w:rPr>
          <w:rFonts w:ascii="仿宋_GB2312" w:eastAsia="仿宋_GB2312" w:hAnsi="宋体" w:cs="宋体" w:hint="eastAsia"/>
          <w:sz w:val="30"/>
          <w:szCs w:val="30"/>
        </w:rPr>
        <w:t>第九十一条本解释自2021年1月1日起施行。</w:t>
      </w:r>
    </w:p>
    <w:p w:rsidR="00F707EF" w:rsidRDefault="00F707EF" w:rsidP="00F707EF">
      <w:pPr>
        <w:pStyle w:val="a3"/>
        <w:spacing w:line="520" w:lineRule="exact"/>
        <w:rPr>
          <w:rFonts w:ascii="仿宋_GB2312" w:eastAsia="仿宋_GB2312" w:hAnsi="宋体" w:cs="宋体" w:hint="eastAsia"/>
          <w:sz w:val="30"/>
          <w:szCs w:val="30"/>
        </w:rPr>
      </w:pPr>
    </w:p>
    <w:p w:rsidR="00F707EF" w:rsidRDefault="00F707EF" w:rsidP="00F707EF">
      <w:pPr>
        <w:pStyle w:val="a3"/>
        <w:spacing w:line="520" w:lineRule="exact"/>
        <w:rPr>
          <w:rFonts w:ascii="仿宋_GB2312" w:eastAsia="仿宋_GB2312" w:hAnsi="宋体" w:cs="宋体" w:hint="eastAsia"/>
          <w:sz w:val="30"/>
          <w:szCs w:val="30"/>
        </w:rPr>
      </w:pPr>
    </w:p>
    <w:p w:rsidR="00F707EF" w:rsidRPr="00F707EF" w:rsidRDefault="00F707EF" w:rsidP="00F707EF">
      <w:pPr>
        <w:pStyle w:val="a3"/>
        <w:spacing w:line="520" w:lineRule="exact"/>
        <w:rPr>
          <w:rFonts w:ascii="仿宋_GB2312" w:eastAsia="仿宋_GB2312" w:hAnsi="宋体" w:cs="宋体" w:hint="eastAsia"/>
          <w:sz w:val="30"/>
          <w:szCs w:val="30"/>
        </w:rPr>
      </w:pPr>
    </w:p>
    <w:p w:rsidR="00F707EF" w:rsidRPr="00F707EF" w:rsidRDefault="00F707EF" w:rsidP="00240647">
      <w:pPr>
        <w:pStyle w:val="a3"/>
        <w:rPr>
          <w:rFonts w:hAnsi="宋体" w:cs="宋体" w:hint="eastAsia"/>
          <w:u w:val="single"/>
        </w:rPr>
      </w:pPr>
      <w:r>
        <w:rPr>
          <w:rFonts w:hAnsi="宋体" w:cs="宋体" w:hint="eastAsia"/>
          <w:u w:val="single"/>
        </w:rPr>
        <w:t xml:space="preserve">                                                                                </w:t>
      </w:r>
    </w:p>
    <w:p w:rsidR="00F707EF" w:rsidRPr="000D1C7E" w:rsidRDefault="00F707EF" w:rsidP="00240647">
      <w:pPr>
        <w:pStyle w:val="a3"/>
        <w:rPr>
          <w:rFonts w:hAnsi="宋体" w:cs="宋体" w:hint="eastAsia"/>
        </w:rPr>
      </w:pPr>
      <w:r w:rsidRPr="000D1C7E">
        <w:rPr>
          <w:rFonts w:hAnsi="宋体" w:cs="宋体" w:hint="eastAsia"/>
        </w:rPr>
        <w:t>最高人民法院办公厅秘书一处</w:t>
      </w:r>
      <w:r>
        <w:rPr>
          <w:rFonts w:hAnsi="宋体" w:cs="宋体" w:hint="eastAsia"/>
        </w:rPr>
        <w:t xml:space="preserve">                              </w:t>
      </w:r>
      <w:r w:rsidRPr="000D1C7E">
        <w:rPr>
          <w:rFonts w:hAnsi="宋体" w:cs="宋体" w:hint="eastAsia"/>
        </w:rPr>
        <w:t>2020年12月29日印发</w:t>
      </w:r>
    </w:p>
    <w:p w:rsidR="00F707EF" w:rsidRPr="00F707EF" w:rsidRDefault="00F707EF" w:rsidP="00240647">
      <w:pPr>
        <w:pStyle w:val="a3"/>
        <w:rPr>
          <w:rFonts w:hAnsi="宋体" w:cs="宋体"/>
          <w:u w:val="single"/>
        </w:rPr>
      </w:pPr>
      <w:r>
        <w:rPr>
          <w:rFonts w:hAnsi="宋体" w:cs="宋体" w:hint="eastAsia"/>
          <w:u w:val="single"/>
        </w:rPr>
        <w:t xml:space="preserve">                                                                                         </w:t>
      </w:r>
    </w:p>
    <w:p w:rsidR="00723C50" w:rsidRPr="00723C50" w:rsidRDefault="00723C50" w:rsidP="00F707EF">
      <w:pPr>
        <w:pStyle w:val="a3"/>
        <w:spacing w:line="520" w:lineRule="exact"/>
        <w:rPr>
          <w:rFonts w:hAnsi="宋体" w:cs="宋体"/>
          <w:u w:val="single"/>
        </w:rPr>
      </w:pPr>
    </w:p>
    <w:sectPr w:rsidR="00723C50" w:rsidRPr="00723C50" w:rsidSect="005C1972">
      <w:footerReference w:type="even" r:id="rId8"/>
      <w:footerReference w:type="default" r:id="rId9"/>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ECE" w:rsidRDefault="00803ECE">
      <w:r>
        <w:separator/>
      </w:r>
    </w:p>
  </w:endnote>
  <w:endnote w:type="continuationSeparator" w:id="1">
    <w:p w:rsidR="00803ECE" w:rsidRDefault="00803EC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DE1654"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end"/>
    </w:r>
  </w:p>
  <w:p w:rsidR="00542147" w:rsidRDefault="00542147" w:rsidP="00233F9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DE1654"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separate"/>
    </w:r>
    <w:r w:rsidR="00F707EF">
      <w:rPr>
        <w:rStyle w:val="a5"/>
        <w:noProof/>
      </w:rPr>
      <w:t>0</w:t>
    </w:r>
    <w:r>
      <w:rPr>
        <w:rStyle w:val="a5"/>
      </w:rPr>
      <w:fldChar w:fldCharType="end"/>
    </w:r>
  </w:p>
  <w:p w:rsidR="00542147" w:rsidRDefault="00542147" w:rsidP="00BD7A1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ECE" w:rsidRDefault="00803ECE">
      <w:r>
        <w:separator/>
      </w:r>
    </w:p>
  </w:footnote>
  <w:footnote w:type="continuationSeparator" w:id="1">
    <w:p w:rsidR="00803ECE" w:rsidRDefault="00803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045"/>
    <w:multiLevelType w:val="hybridMultilevel"/>
    <w:tmpl w:val="04B4CEC0"/>
    <w:lvl w:ilvl="0" w:tplc="53F41230">
      <w:start w:val="1"/>
      <w:numFmt w:val="japaneseCounting"/>
      <w:lvlText w:val="第%1条"/>
      <w:lvlJc w:val="left"/>
      <w:pPr>
        <w:ind w:left="1648" w:hanging="1080"/>
      </w:pPr>
      <w:rPr>
        <w:rFonts w:ascii="黑体" w:eastAsia="黑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6CF01168"/>
    <w:multiLevelType w:val="hybridMultilevel"/>
    <w:tmpl w:val="464E9590"/>
    <w:lvl w:ilvl="0" w:tplc="ED4C0A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2344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C55"/>
    <w:rsid w:val="000051BA"/>
    <w:rsid w:val="00007DC9"/>
    <w:rsid w:val="00022FF2"/>
    <w:rsid w:val="000246CF"/>
    <w:rsid w:val="00026B55"/>
    <w:rsid w:val="000300E0"/>
    <w:rsid w:val="0004157A"/>
    <w:rsid w:val="00041639"/>
    <w:rsid w:val="00046FD0"/>
    <w:rsid w:val="00060A39"/>
    <w:rsid w:val="00060B3A"/>
    <w:rsid w:val="000658AA"/>
    <w:rsid w:val="00070A8B"/>
    <w:rsid w:val="000720A0"/>
    <w:rsid w:val="00072E51"/>
    <w:rsid w:val="000831A5"/>
    <w:rsid w:val="00092662"/>
    <w:rsid w:val="00093500"/>
    <w:rsid w:val="00094871"/>
    <w:rsid w:val="000A67EC"/>
    <w:rsid w:val="000B1F15"/>
    <w:rsid w:val="000B47FF"/>
    <w:rsid w:val="000C4793"/>
    <w:rsid w:val="000D7352"/>
    <w:rsid w:val="000E4EE9"/>
    <w:rsid w:val="000E5187"/>
    <w:rsid w:val="000E56CF"/>
    <w:rsid w:val="000E6D88"/>
    <w:rsid w:val="000F150B"/>
    <w:rsid w:val="000F2196"/>
    <w:rsid w:val="000F2D91"/>
    <w:rsid w:val="00105EA6"/>
    <w:rsid w:val="001066EE"/>
    <w:rsid w:val="00106D59"/>
    <w:rsid w:val="001211C7"/>
    <w:rsid w:val="00125415"/>
    <w:rsid w:val="00133F36"/>
    <w:rsid w:val="00141FB6"/>
    <w:rsid w:val="00156266"/>
    <w:rsid w:val="001614DD"/>
    <w:rsid w:val="001617A2"/>
    <w:rsid w:val="00162880"/>
    <w:rsid w:val="0016489F"/>
    <w:rsid w:val="0016665A"/>
    <w:rsid w:val="00170A71"/>
    <w:rsid w:val="001778DA"/>
    <w:rsid w:val="001A7520"/>
    <w:rsid w:val="001B131A"/>
    <w:rsid w:val="001B153F"/>
    <w:rsid w:val="001B6523"/>
    <w:rsid w:val="001D4E14"/>
    <w:rsid w:val="001D5662"/>
    <w:rsid w:val="001E1AB1"/>
    <w:rsid w:val="002064F7"/>
    <w:rsid w:val="00206B2B"/>
    <w:rsid w:val="0021015E"/>
    <w:rsid w:val="0021638E"/>
    <w:rsid w:val="002216B9"/>
    <w:rsid w:val="0023259F"/>
    <w:rsid w:val="00233F94"/>
    <w:rsid w:val="00235183"/>
    <w:rsid w:val="00241E35"/>
    <w:rsid w:val="002428F9"/>
    <w:rsid w:val="0025742F"/>
    <w:rsid w:val="002671B1"/>
    <w:rsid w:val="00271C80"/>
    <w:rsid w:val="00277543"/>
    <w:rsid w:val="00281EEF"/>
    <w:rsid w:val="0028710F"/>
    <w:rsid w:val="002A0E27"/>
    <w:rsid w:val="002A0E47"/>
    <w:rsid w:val="002A1765"/>
    <w:rsid w:val="002A17D6"/>
    <w:rsid w:val="002A1BB0"/>
    <w:rsid w:val="002A7E25"/>
    <w:rsid w:val="002B5E8C"/>
    <w:rsid w:val="002C11D2"/>
    <w:rsid w:val="002C2CC8"/>
    <w:rsid w:val="002D6C55"/>
    <w:rsid w:val="002E52C2"/>
    <w:rsid w:val="002E71C4"/>
    <w:rsid w:val="00300D5D"/>
    <w:rsid w:val="00304596"/>
    <w:rsid w:val="00311EB0"/>
    <w:rsid w:val="00313AEE"/>
    <w:rsid w:val="0031621E"/>
    <w:rsid w:val="00327650"/>
    <w:rsid w:val="003344E4"/>
    <w:rsid w:val="00334544"/>
    <w:rsid w:val="003370AB"/>
    <w:rsid w:val="003407E4"/>
    <w:rsid w:val="00340D0A"/>
    <w:rsid w:val="00342C41"/>
    <w:rsid w:val="00344576"/>
    <w:rsid w:val="00345685"/>
    <w:rsid w:val="003543FF"/>
    <w:rsid w:val="00356973"/>
    <w:rsid w:val="00356AAC"/>
    <w:rsid w:val="00357579"/>
    <w:rsid w:val="00357968"/>
    <w:rsid w:val="00374592"/>
    <w:rsid w:val="00384827"/>
    <w:rsid w:val="003854B1"/>
    <w:rsid w:val="003871CA"/>
    <w:rsid w:val="003902DE"/>
    <w:rsid w:val="00390825"/>
    <w:rsid w:val="00394561"/>
    <w:rsid w:val="00395336"/>
    <w:rsid w:val="003B50D6"/>
    <w:rsid w:val="003C0536"/>
    <w:rsid w:val="003D7E4C"/>
    <w:rsid w:val="003E737D"/>
    <w:rsid w:val="003F534F"/>
    <w:rsid w:val="00403942"/>
    <w:rsid w:val="00422EA0"/>
    <w:rsid w:val="00424C9C"/>
    <w:rsid w:val="00430221"/>
    <w:rsid w:val="00431DB2"/>
    <w:rsid w:val="00432CA7"/>
    <w:rsid w:val="004358E6"/>
    <w:rsid w:val="00440B14"/>
    <w:rsid w:val="00447D9F"/>
    <w:rsid w:val="00454D12"/>
    <w:rsid w:val="00463561"/>
    <w:rsid w:val="004724D5"/>
    <w:rsid w:val="00473BA4"/>
    <w:rsid w:val="004745A3"/>
    <w:rsid w:val="0048272B"/>
    <w:rsid w:val="00493ABE"/>
    <w:rsid w:val="004A69A0"/>
    <w:rsid w:val="004B0465"/>
    <w:rsid w:val="004B1A57"/>
    <w:rsid w:val="004B2619"/>
    <w:rsid w:val="004B4FF6"/>
    <w:rsid w:val="004B7D8C"/>
    <w:rsid w:val="004C1EAA"/>
    <w:rsid w:val="004C4118"/>
    <w:rsid w:val="004C4DF7"/>
    <w:rsid w:val="004C569C"/>
    <w:rsid w:val="004F5158"/>
    <w:rsid w:val="00506C84"/>
    <w:rsid w:val="005142A1"/>
    <w:rsid w:val="00517CAB"/>
    <w:rsid w:val="00536EBF"/>
    <w:rsid w:val="0053713F"/>
    <w:rsid w:val="00542147"/>
    <w:rsid w:val="005433C2"/>
    <w:rsid w:val="005502F2"/>
    <w:rsid w:val="005533DE"/>
    <w:rsid w:val="00562083"/>
    <w:rsid w:val="0057423C"/>
    <w:rsid w:val="0058350A"/>
    <w:rsid w:val="00586344"/>
    <w:rsid w:val="00594376"/>
    <w:rsid w:val="005A56F6"/>
    <w:rsid w:val="005A6C12"/>
    <w:rsid w:val="005C1972"/>
    <w:rsid w:val="005D3469"/>
    <w:rsid w:val="005E2A4A"/>
    <w:rsid w:val="005E48B7"/>
    <w:rsid w:val="005F1B3D"/>
    <w:rsid w:val="00602816"/>
    <w:rsid w:val="00604ACB"/>
    <w:rsid w:val="00606C5B"/>
    <w:rsid w:val="00612F03"/>
    <w:rsid w:val="006171AA"/>
    <w:rsid w:val="006178C3"/>
    <w:rsid w:val="00621BAF"/>
    <w:rsid w:val="0062410E"/>
    <w:rsid w:val="00626CE8"/>
    <w:rsid w:val="00661621"/>
    <w:rsid w:val="006711F4"/>
    <w:rsid w:val="0068140B"/>
    <w:rsid w:val="00685825"/>
    <w:rsid w:val="0069347C"/>
    <w:rsid w:val="006B086F"/>
    <w:rsid w:val="006C6067"/>
    <w:rsid w:val="006E1FF4"/>
    <w:rsid w:val="006E7630"/>
    <w:rsid w:val="006F0A7E"/>
    <w:rsid w:val="006F6FC3"/>
    <w:rsid w:val="006F7D77"/>
    <w:rsid w:val="007024D7"/>
    <w:rsid w:val="00715180"/>
    <w:rsid w:val="00720A73"/>
    <w:rsid w:val="00720CAF"/>
    <w:rsid w:val="00723C50"/>
    <w:rsid w:val="00724377"/>
    <w:rsid w:val="007276B4"/>
    <w:rsid w:val="00733E0F"/>
    <w:rsid w:val="00745D25"/>
    <w:rsid w:val="007506EE"/>
    <w:rsid w:val="0075447F"/>
    <w:rsid w:val="00754A2D"/>
    <w:rsid w:val="007643CE"/>
    <w:rsid w:val="00764ADF"/>
    <w:rsid w:val="00766157"/>
    <w:rsid w:val="00767F68"/>
    <w:rsid w:val="0077490A"/>
    <w:rsid w:val="007775EF"/>
    <w:rsid w:val="00780D87"/>
    <w:rsid w:val="007A51E0"/>
    <w:rsid w:val="007A6544"/>
    <w:rsid w:val="007A7FD3"/>
    <w:rsid w:val="007B2410"/>
    <w:rsid w:val="007C01D1"/>
    <w:rsid w:val="007C5705"/>
    <w:rsid w:val="007D13B8"/>
    <w:rsid w:val="007D529B"/>
    <w:rsid w:val="007D77CE"/>
    <w:rsid w:val="00802CDC"/>
    <w:rsid w:val="00803ECE"/>
    <w:rsid w:val="00805E1D"/>
    <w:rsid w:val="00813FEC"/>
    <w:rsid w:val="00814E29"/>
    <w:rsid w:val="00823C1E"/>
    <w:rsid w:val="00826D77"/>
    <w:rsid w:val="0083338D"/>
    <w:rsid w:val="008701AB"/>
    <w:rsid w:val="0087139A"/>
    <w:rsid w:val="00877798"/>
    <w:rsid w:val="008802DB"/>
    <w:rsid w:val="00881967"/>
    <w:rsid w:val="00885F48"/>
    <w:rsid w:val="00890F76"/>
    <w:rsid w:val="0089274E"/>
    <w:rsid w:val="008A08FA"/>
    <w:rsid w:val="008E1146"/>
    <w:rsid w:val="008E70E5"/>
    <w:rsid w:val="008F50DB"/>
    <w:rsid w:val="008F5238"/>
    <w:rsid w:val="008F7723"/>
    <w:rsid w:val="00904BC8"/>
    <w:rsid w:val="00911248"/>
    <w:rsid w:val="00913A4E"/>
    <w:rsid w:val="00925F75"/>
    <w:rsid w:val="0094340F"/>
    <w:rsid w:val="00971108"/>
    <w:rsid w:val="0097410F"/>
    <w:rsid w:val="00974280"/>
    <w:rsid w:val="00974393"/>
    <w:rsid w:val="0097704C"/>
    <w:rsid w:val="00986E71"/>
    <w:rsid w:val="00992211"/>
    <w:rsid w:val="009942EB"/>
    <w:rsid w:val="009A1862"/>
    <w:rsid w:val="009A78E1"/>
    <w:rsid w:val="009A7FCF"/>
    <w:rsid w:val="009B548C"/>
    <w:rsid w:val="009D18B6"/>
    <w:rsid w:val="009E6F62"/>
    <w:rsid w:val="009E7F86"/>
    <w:rsid w:val="009F1030"/>
    <w:rsid w:val="009F1B6D"/>
    <w:rsid w:val="00A02039"/>
    <w:rsid w:val="00A04BD7"/>
    <w:rsid w:val="00A20EDD"/>
    <w:rsid w:val="00A212C7"/>
    <w:rsid w:val="00A23406"/>
    <w:rsid w:val="00A27EDD"/>
    <w:rsid w:val="00A35D41"/>
    <w:rsid w:val="00A40953"/>
    <w:rsid w:val="00A44C88"/>
    <w:rsid w:val="00A459E3"/>
    <w:rsid w:val="00A571FE"/>
    <w:rsid w:val="00A636AF"/>
    <w:rsid w:val="00A773EC"/>
    <w:rsid w:val="00AA03DB"/>
    <w:rsid w:val="00AA164E"/>
    <w:rsid w:val="00AA3B2D"/>
    <w:rsid w:val="00AA7268"/>
    <w:rsid w:val="00AB0D6D"/>
    <w:rsid w:val="00AB68DD"/>
    <w:rsid w:val="00AC2B0B"/>
    <w:rsid w:val="00AD35D8"/>
    <w:rsid w:val="00AD6BB8"/>
    <w:rsid w:val="00AF6D19"/>
    <w:rsid w:val="00B018B8"/>
    <w:rsid w:val="00B1436F"/>
    <w:rsid w:val="00B17FDC"/>
    <w:rsid w:val="00B22148"/>
    <w:rsid w:val="00B2377E"/>
    <w:rsid w:val="00B25C4D"/>
    <w:rsid w:val="00B32A99"/>
    <w:rsid w:val="00B364E6"/>
    <w:rsid w:val="00B47F03"/>
    <w:rsid w:val="00B62010"/>
    <w:rsid w:val="00B6417D"/>
    <w:rsid w:val="00B712AC"/>
    <w:rsid w:val="00B82084"/>
    <w:rsid w:val="00B95E1A"/>
    <w:rsid w:val="00BB4808"/>
    <w:rsid w:val="00BD62E5"/>
    <w:rsid w:val="00BD715F"/>
    <w:rsid w:val="00BD7A11"/>
    <w:rsid w:val="00BE0134"/>
    <w:rsid w:val="00BE421E"/>
    <w:rsid w:val="00BE428E"/>
    <w:rsid w:val="00BE6A42"/>
    <w:rsid w:val="00BF009A"/>
    <w:rsid w:val="00BF2167"/>
    <w:rsid w:val="00BF4E21"/>
    <w:rsid w:val="00BF6AB5"/>
    <w:rsid w:val="00C03182"/>
    <w:rsid w:val="00C10C97"/>
    <w:rsid w:val="00C41CE2"/>
    <w:rsid w:val="00C452E4"/>
    <w:rsid w:val="00C53D36"/>
    <w:rsid w:val="00C57E0D"/>
    <w:rsid w:val="00C636EE"/>
    <w:rsid w:val="00C672E3"/>
    <w:rsid w:val="00C7181C"/>
    <w:rsid w:val="00C73C73"/>
    <w:rsid w:val="00C748B2"/>
    <w:rsid w:val="00C75F27"/>
    <w:rsid w:val="00C76A21"/>
    <w:rsid w:val="00C85BE4"/>
    <w:rsid w:val="00C865F7"/>
    <w:rsid w:val="00CA3B61"/>
    <w:rsid w:val="00CB05CD"/>
    <w:rsid w:val="00CB268F"/>
    <w:rsid w:val="00CD046D"/>
    <w:rsid w:val="00CD15F8"/>
    <w:rsid w:val="00CD207F"/>
    <w:rsid w:val="00CF0128"/>
    <w:rsid w:val="00CF0812"/>
    <w:rsid w:val="00CF245A"/>
    <w:rsid w:val="00CF41FE"/>
    <w:rsid w:val="00CF4321"/>
    <w:rsid w:val="00CF5E94"/>
    <w:rsid w:val="00CF7BE1"/>
    <w:rsid w:val="00D0443A"/>
    <w:rsid w:val="00D07F94"/>
    <w:rsid w:val="00D1130C"/>
    <w:rsid w:val="00D16667"/>
    <w:rsid w:val="00D16B69"/>
    <w:rsid w:val="00D21DEB"/>
    <w:rsid w:val="00D3514F"/>
    <w:rsid w:val="00D5052C"/>
    <w:rsid w:val="00D6266A"/>
    <w:rsid w:val="00D81223"/>
    <w:rsid w:val="00D860D5"/>
    <w:rsid w:val="00D91F48"/>
    <w:rsid w:val="00D97443"/>
    <w:rsid w:val="00DB1764"/>
    <w:rsid w:val="00DB2440"/>
    <w:rsid w:val="00DB3C8A"/>
    <w:rsid w:val="00DB5F18"/>
    <w:rsid w:val="00DC5F89"/>
    <w:rsid w:val="00DD0C51"/>
    <w:rsid w:val="00DD7AE6"/>
    <w:rsid w:val="00DE1654"/>
    <w:rsid w:val="00E06E17"/>
    <w:rsid w:val="00E11578"/>
    <w:rsid w:val="00E2376E"/>
    <w:rsid w:val="00E25C09"/>
    <w:rsid w:val="00E35402"/>
    <w:rsid w:val="00E379EC"/>
    <w:rsid w:val="00E42D97"/>
    <w:rsid w:val="00E42DA2"/>
    <w:rsid w:val="00E47E0D"/>
    <w:rsid w:val="00E526C3"/>
    <w:rsid w:val="00E56A87"/>
    <w:rsid w:val="00E56E52"/>
    <w:rsid w:val="00E854B0"/>
    <w:rsid w:val="00E9403C"/>
    <w:rsid w:val="00E956E5"/>
    <w:rsid w:val="00E95DF8"/>
    <w:rsid w:val="00E97496"/>
    <w:rsid w:val="00EB642C"/>
    <w:rsid w:val="00EB67B5"/>
    <w:rsid w:val="00EB6A82"/>
    <w:rsid w:val="00EB79DB"/>
    <w:rsid w:val="00EE1F86"/>
    <w:rsid w:val="00EE4190"/>
    <w:rsid w:val="00F01156"/>
    <w:rsid w:val="00F04A75"/>
    <w:rsid w:val="00F11389"/>
    <w:rsid w:val="00F11CAA"/>
    <w:rsid w:val="00F14865"/>
    <w:rsid w:val="00F2565B"/>
    <w:rsid w:val="00F3114F"/>
    <w:rsid w:val="00F3147A"/>
    <w:rsid w:val="00F31FF1"/>
    <w:rsid w:val="00F347B6"/>
    <w:rsid w:val="00F37571"/>
    <w:rsid w:val="00F44A15"/>
    <w:rsid w:val="00F4779A"/>
    <w:rsid w:val="00F64D94"/>
    <w:rsid w:val="00F70562"/>
    <w:rsid w:val="00F707EF"/>
    <w:rsid w:val="00F744B5"/>
    <w:rsid w:val="00F74986"/>
    <w:rsid w:val="00F845F5"/>
    <w:rsid w:val="00F84788"/>
    <w:rsid w:val="00F865EA"/>
    <w:rsid w:val="00F90AF4"/>
    <w:rsid w:val="00F92C7B"/>
    <w:rsid w:val="00F9667A"/>
    <w:rsid w:val="00FA21BD"/>
    <w:rsid w:val="00FB46C7"/>
    <w:rsid w:val="00FC2B5F"/>
    <w:rsid w:val="00FD0009"/>
    <w:rsid w:val="00FD51B5"/>
    <w:rsid w:val="00FF402A"/>
    <w:rsid w:val="00FF6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2D6C55"/>
    <w:rPr>
      <w:rFonts w:ascii="宋体" w:hAnsi="Courier New" w:cs="Courier New"/>
      <w:szCs w:val="21"/>
    </w:rPr>
  </w:style>
  <w:style w:type="paragraph" w:customStyle="1" w:styleId="ParaCharCharCharCharCharCharChar">
    <w:name w:val="默认段落字体 Para Char Char Char Char Char Char Char"/>
    <w:basedOn w:val="a"/>
    <w:rsid w:val="004F5158"/>
  </w:style>
  <w:style w:type="paragraph" w:styleId="a4">
    <w:name w:val="footer"/>
    <w:basedOn w:val="a"/>
    <w:rsid w:val="00233F94"/>
    <w:pPr>
      <w:tabs>
        <w:tab w:val="center" w:pos="4153"/>
        <w:tab w:val="right" w:pos="8306"/>
      </w:tabs>
      <w:snapToGrid w:val="0"/>
      <w:jc w:val="left"/>
    </w:pPr>
    <w:rPr>
      <w:sz w:val="18"/>
      <w:szCs w:val="18"/>
    </w:rPr>
  </w:style>
  <w:style w:type="character" w:styleId="a5">
    <w:name w:val="page number"/>
    <w:basedOn w:val="a0"/>
    <w:rsid w:val="00233F94"/>
  </w:style>
  <w:style w:type="paragraph" w:styleId="a6">
    <w:name w:val="header"/>
    <w:basedOn w:val="a"/>
    <w:link w:val="Char0"/>
    <w:rsid w:val="00F11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11389"/>
    <w:rPr>
      <w:kern w:val="2"/>
      <w:sz w:val="18"/>
      <w:szCs w:val="18"/>
    </w:rPr>
  </w:style>
  <w:style w:type="paragraph" w:styleId="a7">
    <w:name w:val="Balloon Text"/>
    <w:basedOn w:val="a"/>
    <w:link w:val="Char1"/>
    <w:rsid w:val="005C1972"/>
    <w:rPr>
      <w:sz w:val="18"/>
      <w:szCs w:val="18"/>
    </w:rPr>
  </w:style>
  <w:style w:type="character" w:customStyle="1" w:styleId="Char1">
    <w:name w:val="批注框文本 Char"/>
    <w:basedOn w:val="a0"/>
    <w:link w:val="a7"/>
    <w:rsid w:val="005C1972"/>
    <w:rPr>
      <w:kern w:val="2"/>
      <w:sz w:val="18"/>
      <w:szCs w:val="18"/>
    </w:rPr>
  </w:style>
  <w:style w:type="character" w:customStyle="1" w:styleId="Char">
    <w:name w:val="纯文本 Char"/>
    <w:basedOn w:val="a0"/>
    <w:link w:val="a3"/>
    <w:uiPriority w:val="99"/>
    <w:rsid w:val="005C197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FC39-9778-4A21-BE06-87F6FA0D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9172</Words>
  <Characters>755</Characters>
  <Application>Microsoft Office Word</Application>
  <DocSecurity>0</DocSecurity>
  <Lines>6</Lines>
  <Paragraphs>19</Paragraphs>
  <ScaleCrop>false</ScaleCrop>
  <Company>Lenovo (Beijing) Limited</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dc:creator>Lenovo User</dc:creator>
  <cp:lastModifiedBy>荣素苓</cp:lastModifiedBy>
  <cp:revision>3</cp:revision>
  <cp:lastPrinted>2014-04-03T09:04:00Z</cp:lastPrinted>
  <dcterms:created xsi:type="dcterms:W3CDTF">2020-12-29T19:03:00Z</dcterms:created>
  <dcterms:modified xsi:type="dcterms:W3CDTF">2020-12-29T19:05:00Z</dcterms:modified>
</cp:coreProperties>
</file>